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431023">
        <w:rPr>
          <w:rFonts w:ascii="Arial" w:hAnsi="Arial" w:cs="Arial"/>
          <w:sz w:val="24"/>
          <w:szCs w:val="24"/>
        </w:rPr>
        <w:t>The London Road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431023">
        <w:rPr>
          <w:rFonts w:ascii="Arial" w:hAnsi="Arial" w:cs="Arial"/>
          <w:sz w:val="24"/>
          <w:szCs w:val="24"/>
        </w:rPr>
        <w:t>F81041</w:t>
      </w:r>
    </w:p>
    <w:p w:rsidR="00285DB5" w:rsidRDefault="00285DB5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285DB5" w:rsidRPr="002649FE" w:rsidRDefault="00285DB5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 website address: </w:t>
      </w:r>
      <w:r w:rsidR="00431023" w:rsidRPr="00431023">
        <w:rPr>
          <w:rStyle w:val="HTMLCite"/>
          <w:rFonts w:ascii="Arial" w:hAnsi="Arial" w:cs="Arial"/>
          <w:b/>
          <w:color w:val="auto"/>
          <w:sz w:val="24"/>
          <w:szCs w:val="24"/>
          <w:lang w:val="en"/>
        </w:rPr>
        <w:t>www.</w:t>
      </w:r>
      <w:r w:rsidR="00431023" w:rsidRPr="00431023">
        <w:rPr>
          <w:rStyle w:val="Strong"/>
          <w:rFonts w:ascii="Arial" w:hAnsi="Arial" w:cs="Arial"/>
          <w:b w:val="0"/>
          <w:sz w:val="24"/>
          <w:szCs w:val="24"/>
          <w:lang w:val="en"/>
        </w:rPr>
        <w:t>thelondonroadsurgery</w:t>
      </w:r>
      <w:r w:rsidR="00431023" w:rsidRPr="00431023">
        <w:rPr>
          <w:rStyle w:val="HTMLCite"/>
          <w:rFonts w:ascii="Arial" w:hAnsi="Arial" w:cs="Arial"/>
          <w:b/>
          <w:color w:val="auto"/>
          <w:sz w:val="24"/>
          <w:szCs w:val="24"/>
          <w:lang w:val="en"/>
        </w:rPr>
        <w:t>.co.uk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     </w:t>
      </w:r>
      <w:r w:rsidR="00431023">
        <w:rPr>
          <w:rFonts w:ascii="Arial" w:hAnsi="Arial" w:cs="Arial"/>
          <w:sz w:val="24"/>
          <w:szCs w:val="24"/>
        </w:rPr>
        <w:t>Cally Hayes</w:t>
      </w:r>
      <w:r w:rsidRPr="002649FE">
        <w:rPr>
          <w:rFonts w:ascii="Arial" w:hAnsi="Arial" w:cs="Arial"/>
          <w:sz w:val="24"/>
          <w:szCs w:val="24"/>
        </w:rPr>
        <w:t xml:space="preserve">    </w:t>
      </w:r>
      <w:r w:rsidRPr="002649FE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>Date</w:t>
      </w:r>
      <w:proofErr w:type="gramStart"/>
      <w:r w:rsidRPr="002649FE">
        <w:rPr>
          <w:rFonts w:ascii="Arial" w:hAnsi="Arial" w:cs="Arial"/>
          <w:sz w:val="24"/>
          <w:szCs w:val="24"/>
        </w:rPr>
        <w:t>:</w:t>
      </w:r>
      <w:r w:rsidR="00431023">
        <w:rPr>
          <w:rFonts w:ascii="Arial" w:hAnsi="Arial" w:cs="Arial"/>
          <w:sz w:val="24"/>
          <w:szCs w:val="24"/>
        </w:rPr>
        <w:t>26</w:t>
      </w:r>
      <w:r w:rsidR="00431023" w:rsidRPr="00431023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431023">
        <w:rPr>
          <w:rFonts w:ascii="Arial" w:hAnsi="Arial" w:cs="Arial"/>
          <w:sz w:val="24"/>
          <w:szCs w:val="24"/>
        </w:rPr>
        <w:t xml:space="preserve"> March 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>Virtual Group therefore signature not possible</w:t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  <w:r w:rsidR="00431023">
        <w:rPr>
          <w:rFonts w:ascii="Arial" w:hAnsi="Arial" w:cs="Arial"/>
          <w:sz w:val="24"/>
          <w:szCs w:val="24"/>
        </w:rPr>
        <w:tab/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Does t</w:t>
            </w:r>
            <w:r w:rsidR="00431023">
              <w:rPr>
                <w:rFonts w:ascii="Arial" w:hAnsi="Arial" w:cs="Arial"/>
                <w:color w:val="auto"/>
              </w:rPr>
              <w:t>he Practice have a PPG? YES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Method of engagement </w:t>
            </w:r>
            <w:r w:rsidR="00431023">
              <w:rPr>
                <w:rFonts w:ascii="Arial" w:hAnsi="Arial" w:cs="Arial"/>
                <w:color w:val="auto"/>
              </w:rPr>
              <w:t>with PPG: Email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431023">
              <w:rPr>
                <w:rFonts w:ascii="Arial" w:hAnsi="Arial" w:cs="Arial"/>
              </w:rPr>
              <w:t xml:space="preserve"> 384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49%</w:t>
                  </w:r>
                </w:p>
              </w:tc>
              <w:tc>
                <w:tcPr>
                  <w:tcW w:w="1985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51%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44%</w:t>
                  </w:r>
                </w:p>
              </w:tc>
              <w:tc>
                <w:tcPr>
                  <w:tcW w:w="1985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56.5%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709"/>
              <w:gridCol w:w="850"/>
              <w:gridCol w:w="851"/>
              <w:gridCol w:w="992"/>
              <w:gridCol w:w="851"/>
              <w:gridCol w:w="850"/>
              <w:gridCol w:w="851"/>
              <w:gridCol w:w="850"/>
            </w:tblGrid>
            <w:tr w:rsidR="00A75AE8" w:rsidRPr="002649FE" w:rsidTr="00832DC6">
              <w:tc>
                <w:tcPr>
                  <w:tcW w:w="102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832DC6">
              <w:tc>
                <w:tcPr>
                  <w:tcW w:w="102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16%</w:t>
                  </w:r>
                </w:p>
              </w:tc>
              <w:tc>
                <w:tcPr>
                  <w:tcW w:w="850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8.13%</w:t>
                  </w:r>
                </w:p>
              </w:tc>
              <w:tc>
                <w:tcPr>
                  <w:tcW w:w="851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11.46%</w:t>
                  </w:r>
                </w:p>
              </w:tc>
              <w:tc>
                <w:tcPr>
                  <w:tcW w:w="992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11.18%</w:t>
                  </w:r>
                </w:p>
              </w:tc>
              <w:tc>
                <w:tcPr>
                  <w:tcW w:w="851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14.52%</w:t>
                  </w:r>
                </w:p>
              </w:tc>
              <w:tc>
                <w:tcPr>
                  <w:tcW w:w="850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12.55%</w:t>
                  </w:r>
                </w:p>
              </w:tc>
              <w:tc>
                <w:tcPr>
                  <w:tcW w:w="851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13.87%</w:t>
                  </w:r>
                </w:p>
              </w:tc>
              <w:tc>
                <w:tcPr>
                  <w:tcW w:w="850" w:type="dxa"/>
                </w:tcPr>
                <w:p w:rsidR="00A75AE8" w:rsidRPr="00832DC6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2DC6">
                    <w:rPr>
                      <w:rFonts w:ascii="Arial" w:hAnsi="Arial" w:cs="Arial"/>
                      <w:sz w:val="18"/>
                      <w:szCs w:val="18"/>
                    </w:rPr>
                    <w:t>12.06%</w:t>
                  </w:r>
                </w:p>
              </w:tc>
            </w:tr>
            <w:tr w:rsidR="00A75AE8" w:rsidRPr="002649FE" w:rsidTr="00832DC6">
              <w:tc>
                <w:tcPr>
                  <w:tcW w:w="102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43102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0.3%</w:t>
                  </w:r>
                </w:p>
              </w:tc>
              <w:tc>
                <w:tcPr>
                  <w:tcW w:w="992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1.6%</w:t>
                  </w:r>
                </w:p>
              </w:tc>
              <w:tc>
                <w:tcPr>
                  <w:tcW w:w="851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4.9%</w:t>
                  </w:r>
                </w:p>
              </w:tc>
              <w:tc>
                <w:tcPr>
                  <w:tcW w:w="850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7.3%</w:t>
                  </w:r>
                </w:p>
              </w:tc>
              <w:tc>
                <w:tcPr>
                  <w:tcW w:w="851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36.7%</w:t>
                  </w:r>
                </w:p>
              </w:tc>
              <w:tc>
                <w:tcPr>
                  <w:tcW w:w="850" w:type="dxa"/>
                </w:tcPr>
                <w:p w:rsidR="00A75AE8" w:rsidRPr="002649FE" w:rsidRDefault="00832DC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49.2%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832DC6" w:rsidRDefault="00832DC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832DC6" w:rsidRDefault="00832DC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many patients who do not wish for their ethnicity to be recorded; therefore these results reflect those who do and therefore should not be considered a true reflection of our population or indeed that of the PRG.</w:t>
            </w:r>
          </w:p>
          <w:p w:rsidR="00832DC6" w:rsidRDefault="00832DC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832DC6" w:rsidRPr="002649FE" w:rsidRDefault="00832DC6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with record of ethnicity: Whole Practice = 30.7%; PRG = 61.2%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1369</w:t>
                  </w:r>
                </w:p>
              </w:tc>
              <w:tc>
                <w:tcPr>
                  <w:tcW w:w="851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17</w:t>
                  </w:r>
                </w:p>
              </w:tc>
              <w:tc>
                <w:tcPr>
                  <w:tcW w:w="1452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</w:t>
                  </w:r>
                </w:p>
              </w:tc>
              <w:tc>
                <w:tcPr>
                  <w:tcW w:w="1204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70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23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98</w:t>
                  </w:r>
                </w:p>
              </w:tc>
              <w:tc>
                <w:tcPr>
                  <w:tcW w:w="1418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17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32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  <w:r w:rsidR="00D46EC3">
                    <w:rPr>
                      <w:rFonts w:ascii="Arial" w:hAnsi="Arial" w:cs="Arial"/>
                      <w:color w:val="auto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D46EC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74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417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17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C56321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C56321">
        <w:trPr>
          <w:trHeight w:val="3942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Default="00C56321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 do not discriminate with regards to recruitment to the practice PRG.</w:t>
            </w:r>
          </w:p>
          <w:p w:rsidR="00C56321" w:rsidRDefault="00C56321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Posters are displayed in the surgery for all patients to see and to request to join the group.</w:t>
            </w:r>
          </w:p>
          <w:p w:rsidR="00C56321" w:rsidRDefault="0030756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Messages are added to prescriptions to ask for members.</w:t>
            </w:r>
          </w:p>
          <w:p w:rsidR="00A75AE8" w:rsidRPr="002649FE" w:rsidRDefault="0030756C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is posted to all newly registered patients offering them the opportunity to join the group.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30756C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649FE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2649FE">
              <w:rPr>
                <w:rFonts w:ascii="Arial" w:hAnsi="Arial" w:cs="Arial"/>
                <w:sz w:val="24"/>
                <w:szCs w:val="24"/>
              </w:rPr>
              <w:t xml:space="preserve">. a large student population, significant number of jobseekers, large numbers of nursing </w:t>
            </w:r>
            <w:r w:rsidR="0030756C">
              <w:rPr>
                <w:rFonts w:ascii="Arial" w:hAnsi="Arial" w:cs="Arial"/>
                <w:sz w:val="24"/>
                <w:szCs w:val="24"/>
              </w:rPr>
              <w:t xml:space="preserve">homes, or a LGBT community? </w:t>
            </w:r>
          </w:p>
          <w:p w:rsidR="0030756C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NO</w:t>
            </w:r>
            <w:r w:rsidR="0030756C">
              <w:rPr>
                <w:rFonts w:ascii="Arial" w:hAnsi="Arial" w:cs="Arial"/>
                <w:sz w:val="24"/>
                <w:szCs w:val="24"/>
              </w:rPr>
              <w:t xml:space="preserve"> – although we are often told we have a large number of nursing home patients although in comparison to other local practices this is not the case.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A75AE8" w:rsidRPr="002649FE" w:rsidRDefault="0030756C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Emails from the patients group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compliment received from ANY patient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and Family Test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IPSOS MORI NHS Survey</w:t>
            </w:r>
          </w:p>
          <w:p w:rsidR="0030756C" w:rsidRPr="002649FE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Appraisal responses</w:t>
            </w:r>
          </w:p>
          <w:p w:rsidR="00A75AE8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</w:t>
            </w:r>
          </w:p>
          <w:p w:rsidR="0030756C" w:rsidRPr="002649FE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</w:p>
          <w:p w:rsidR="0030756C" w:rsidRP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Cs w:val="20"/>
              </w:rPr>
            </w:pPr>
            <w:r w:rsidRPr="0030756C">
              <w:rPr>
                <w:rFonts w:ascii="Arial" w:hAnsi="Arial" w:cs="Arial"/>
                <w:szCs w:val="20"/>
              </w:rPr>
              <w:t>Annually</w:t>
            </w:r>
            <w:r>
              <w:rPr>
                <w:rFonts w:ascii="Arial" w:hAnsi="Arial" w:cs="Arial"/>
                <w:szCs w:val="20"/>
              </w:rPr>
              <w:t xml:space="preserve"> and on request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A243E1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Difficulty in getting an appointment; </w:t>
            </w:r>
            <w:r w:rsidR="004A08CB">
              <w:rPr>
                <w:rFonts w:ascii="Arial" w:hAnsi="Arial" w:cs="Arial"/>
                <w:sz w:val="24"/>
              </w:rPr>
              <w:t>differing means of booking appointments to increase access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 messages sent regarding online access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 telephone hold messaging alerting patients to availability of online booking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Advertising of online services on our website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house publicising of online services</w:t>
            </w:r>
          </w:p>
          <w:p w:rsidR="0030756C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Addition of online application forms with every new patient registration</w:t>
            </w:r>
          </w:p>
          <w:p w:rsidR="004A08CB" w:rsidRPr="002649FE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 are in the trial implementation stage of adopting WEBGP which is an additional facility to reduce the need for a face to face appointment.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85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Default="0030756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Online access has increased in 2014/15 from 6.5% to 15.7%</w:t>
            </w:r>
          </w:p>
          <w:p w:rsidR="004A08CB" w:rsidRPr="002649FE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This has enabled more patients’ access to booking appointments without the need to come to practice or phone in.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Appointment availability/telephone consultations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a)</w:t>
            </w: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 A new phone provider and system to b</w:t>
            </w: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e selected and installed in line</w:t>
            </w: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 with previous plans.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Done; BT </w:t>
            </w:r>
            <w:proofErr w:type="spellStart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Mitel</w:t>
            </w:r>
            <w:proofErr w:type="spellEnd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 system installed with North Supply contracted to provide the recording facility.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A75AE8" w:rsidRPr="004A08CB" w:rsidRDefault="004A08CB" w:rsidP="004A08C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4A08C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A08CB">
              <w:rPr>
                <w:rFonts w:ascii="Arial" w:hAnsi="Arial" w:cs="Arial"/>
                <w:bCs/>
                <w:sz w:val="22"/>
                <w:szCs w:val="22"/>
              </w:rPr>
              <w:t>b)</w:t>
            </w:r>
            <w:r w:rsidRPr="004A08CB">
              <w:rPr>
                <w:rFonts w:ascii="Arial" w:hAnsi="Arial" w:cs="Arial"/>
                <w:bCs/>
                <w:sz w:val="22"/>
                <w:szCs w:val="22"/>
              </w:rPr>
              <w:t>Implement the use of telephone consultation appointments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proofErr w:type="spellStart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Done</w:t>
            </w:r>
            <w:proofErr w:type="gramStart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;Criteria</w:t>
            </w:r>
            <w:proofErr w:type="spellEnd"/>
            <w:proofErr w:type="gramEnd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 developed by Partners for patients to have telephone consults and this has been implemented these are for use for NON ACUTE issues and mainly used for reviews. They </w:t>
            </w:r>
            <w:proofErr w:type="spellStart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acan</w:t>
            </w:r>
            <w:proofErr w:type="spellEnd"/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 xml:space="preserve"> also be used for giving out of results.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A75AE8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We will continue to monitor and develop.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4A08CB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4A08CB">
              <w:rPr>
                <w:rFonts w:ascii="Arial" w:hAnsi="Arial" w:cs="Arial"/>
                <w:sz w:val="22"/>
                <w:szCs w:val="22"/>
              </w:rPr>
              <w:t>Increased appointment availability as patients who do not require a face to face appointment can be reviewed over the phone thus leaving more appointments available for those who do need face to face review.</w:t>
            </w:r>
          </w:p>
          <w:p w:rsidR="004A08CB" w:rsidRPr="004A08CB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A08CB" w:rsidRPr="004A08CB" w:rsidRDefault="004A08C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4A08CB">
              <w:rPr>
                <w:rFonts w:ascii="Arial" w:hAnsi="Arial" w:cs="Arial"/>
                <w:sz w:val="22"/>
                <w:szCs w:val="22"/>
              </w:rPr>
              <w:t>This has been advertised in house; the slots are only open to those who are clinically appropriate and therefore mass advertising was not deemed appropriate.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FA6910" w:rsidRDefault="004A08CB" w:rsidP="00FA6910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Arial" w:hAnsi="Arial" w:cs="Arial"/>
                <w:sz w:val="24"/>
              </w:rPr>
              <w:t>Booking an appointment; appointment availability</w:t>
            </w:r>
            <w:r w:rsidR="00FA6910">
              <w:rPr>
                <w:rFonts w:ascii="Arial" w:hAnsi="Arial" w:cs="Arial"/>
                <w:sz w:val="24"/>
              </w:rPr>
              <w:t>;</w:t>
            </w:r>
            <w:r w:rsidR="00FA6910" w:rsidRPr="001E2F36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FA6910" w:rsidRPr="00FA6910">
              <w:rPr>
                <w:rFonts w:ascii="Arial" w:hAnsi="Arial" w:cs="Arial"/>
                <w:color w:val="000000"/>
                <w:sz w:val="24"/>
                <w:szCs w:val="24"/>
              </w:rPr>
              <w:t xml:space="preserve">Help increase </w:t>
            </w:r>
            <w:r w:rsidR="00FA6910" w:rsidRPr="00FA6910">
              <w:rPr>
                <w:rFonts w:ascii="Arial" w:hAnsi="Arial" w:cs="Arial"/>
                <w:color w:val="000000"/>
                <w:sz w:val="24"/>
                <w:szCs w:val="24"/>
              </w:rPr>
              <w:t>availability by reducing DNA'</w:t>
            </w:r>
            <w:r w:rsidR="00FA6910" w:rsidRPr="00FA6910">
              <w:rPr>
                <w:rFonts w:ascii="Arial" w:hAnsi="Arial" w:cs="Arial"/>
                <w:sz w:val="24"/>
                <w:szCs w:val="24"/>
              </w:rPr>
              <w:t xml:space="preserve"> 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1) New phone system to monitor and reduce traffic.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A08CB">
              <w:rPr>
                <w:rFonts w:ascii="Arial" w:hAnsi="Arial" w:cs="Arial"/>
                <w:bCs/>
                <w:color w:val="000000"/>
                <w:szCs w:val="22"/>
              </w:rPr>
              <w:t>2) Reduce DNA’s by increasing text updates/reminders and therefore increasing text enablement through prescription messages, advert on phone system, advert on line and promotion by reception</w:t>
            </w:r>
          </w:p>
          <w:p w:rsidR="004A08CB" w:rsidRPr="004A08CB" w:rsidRDefault="004A08CB" w:rsidP="004A08CB">
            <w:pPr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A75AE8" w:rsidRPr="004A08CB" w:rsidRDefault="004A08CB" w:rsidP="004A08CB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4A08CB">
              <w:rPr>
                <w:rFonts w:ascii="Arial" w:hAnsi="Arial" w:cs="Arial"/>
                <w:bCs/>
                <w:sz w:val="22"/>
                <w:szCs w:val="22"/>
              </w:rPr>
              <w:t xml:space="preserve">3)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FA6910">
              <w:rPr>
                <w:rFonts w:ascii="Arial" w:hAnsi="Arial" w:cs="Arial"/>
                <w:bCs/>
                <w:sz w:val="22"/>
                <w:szCs w:val="22"/>
              </w:rPr>
              <w:t>olicy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implemented whereby we w</w:t>
            </w:r>
            <w:r w:rsidRPr="004A08CB">
              <w:rPr>
                <w:rFonts w:ascii="Arial" w:hAnsi="Arial" w:cs="Arial"/>
                <w:bCs/>
                <w:sz w:val="22"/>
                <w:szCs w:val="22"/>
              </w:rPr>
              <w:t>rite to repeat offenders with impact of DNA’s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FA6910" w:rsidRPr="00FA6910" w:rsidRDefault="00FA6910" w:rsidP="00FA6910">
            <w:pPr>
              <w:rPr>
                <w:rFonts w:ascii="Arial" w:hAnsi="Arial" w:cs="Arial"/>
                <w:color w:val="000000"/>
                <w:szCs w:val="22"/>
              </w:rPr>
            </w:pPr>
            <w:r w:rsidRPr="00FA6910">
              <w:rPr>
                <w:rFonts w:ascii="Arial" w:hAnsi="Arial" w:cs="Arial"/>
                <w:color w:val="000000"/>
                <w:szCs w:val="22"/>
              </w:rPr>
              <w:t>Text messaging reminder service in operation but due to poor sign up not utilised as regularly as expected; plan to increase consent and sign up for text messaging.</w:t>
            </w:r>
          </w:p>
          <w:p w:rsidR="00FA6910" w:rsidRPr="00FA6910" w:rsidRDefault="00FA6910" w:rsidP="00FA6910">
            <w:pPr>
              <w:rPr>
                <w:rFonts w:ascii="Arial" w:hAnsi="Arial" w:cs="Arial"/>
                <w:color w:val="000000"/>
                <w:szCs w:val="22"/>
              </w:rPr>
            </w:pPr>
            <w:r w:rsidRPr="00FA6910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:rsidR="00FA6910" w:rsidRPr="00FA6910" w:rsidRDefault="00FA6910" w:rsidP="00FA6910">
            <w:pPr>
              <w:rPr>
                <w:rFonts w:ascii="Arial" w:hAnsi="Arial" w:cs="Arial"/>
                <w:color w:val="000000"/>
                <w:szCs w:val="22"/>
              </w:rPr>
            </w:pPr>
            <w:r w:rsidRPr="00FA6910">
              <w:rPr>
                <w:rFonts w:ascii="Arial" w:hAnsi="Arial" w:cs="Arial"/>
                <w:color w:val="000000"/>
                <w:szCs w:val="22"/>
              </w:rPr>
              <w:t>This has now increased to 33.2% of our patients having consented and using text message alerts/reminders. This is a great increase and has been due to the review of the New Patient Questionnaire and a concerted effort by reception to endeavour to request this at each contact.</w:t>
            </w:r>
          </w:p>
          <w:p w:rsidR="00FA6910" w:rsidRPr="00FA6910" w:rsidRDefault="00FA6910" w:rsidP="00FA6910">
            <w:pPr>
              <w:rPr>
                <w:rFonts w:ascii="Arial" w:hAnsi="Arial" w:cs="Arial"/>
                <w:color w:val="000000"/>
                <w:szCs w:val="22"/>
              </w:rPr>
            </w:pPr>
            <w:r w:rsidRPr="00FA6910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:rsidR="00FA6910" w:rsidRPr="00FA6910" w:rsidRDefault="00FA6910" w:rsidP="00FA6910">
            <w:pPr>
              <w:rPr>
                <w:rFonts w:ascii="Arial" w:hAnsi="Arial" w:cs="Arial"/>
                <w:color w:val="000000"/>
                <w:szCs w:val="22"/>
              </w:rPr>
            </w:pPr>
            <w:r w:rsidRPr="00FA6910">
              <w:rPr>
                <w:rFonts w:ascii="Arial" w:hAnsi="Arial" w:cs="Arial"/>
                <w:color w:val="000000"/>
                <w:szCs w:val="22"/>
              </w:rPr>
              <w:t xml:space="preserve">We have now adopted a policy where multiple DNA's in a short period of time, with no warning or contact will result in a letter from the surgery outlining the impact of DNA's. </w:t>
            </w:r>
          </w:p>
          <w:p w:rsidR="00FA6910" w:rsidRPr="002649FE" w:rsidRDefault="00FA691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FA6910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  <w:bookmarkStart w:id="0" w:name="_GoBack"/>
      <w:bookmarkEnd w:id="0"/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E73" wp14:editId="6054E37E">
                <wp:simplePos x="0" y="0"/>
                <wp:positionH relativeFrom="column">
                  <wp:posOffset>30736</wp:posOffset>
                </wp:positionH>
                <wp:positionV relativeFrom="paragraph">
                  <wp:posOffset>107330</wp:posOffset>
                </wp:positionV>
                <wp:extent cx="8905240" cy="4387583"/>
                <wp:effectExtent l="0" t="0" r="1016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438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375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467"/>
                              <w:gridCol w:w="1843"/>
                              <w:gridCol w:w="1134"/>
                              <w:gridCol w:w="5888"/>
                            </w:tblGrid>
                            <w:tr w:rsidR="00FA6910" w:rsidRPr="00032C80" w:rsidTr="00FA6910">
                              <w:tc>
                                <w:tcPr>
                                  <w:tcW w:w="1418" w:type="dxa"/>
                                </w:tcPr>
                                <w:p w:rsidR="00FA6910" w:rsidRPr="00E241B8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E241B8"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Booking an Appointment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1) Ensure rota’s created and agreed and are applied to system every 5 weeks; this allows patients to book 6-8 weeks in advance.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2) New Phone System to allow less call traffic ensuring patients can get through to book an appointment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Pr="00E241B8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3) Increase online access to allow more appointments to be booked in this way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Partners 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Cally Hayes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Monitoring by Cally Hayes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Implementing by Reception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Cally Hayes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Reception</w:t>
                                  </w:r>
                                </w:p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Secretarial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Ongoing</w:t>
                                  </w:r>
                                  <w:proofErr w:type="spellEnd"/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Ongoing</w:t>
                                  </w:r>
                                  <w:proofErr w:type="spellEnd"/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Ongoing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88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1) Done.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Rota’s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are always done in this time frame except in exceptional circumstances of staff absence, unplanned sickness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2) Done.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Cally Hayes 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continue to monitor and develop as necessary.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3) Service is advertised on pour hold feature on the new phone system and on our website.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Reception are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now tasked with recommending this option to patients at each contact.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Added to new patient questionnaire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Set prescription messages every 6 months.</w:t>
                                  </w:r>
                                </w:p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6910" w:rsidRPr="00032C80" w:rsidTr="00FA6910">
                              <w:tc>
                                <w:tcPr>
                                  <w:tcW w:w="1418" w:type="dxa"/>
                                </w:tcPr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Premises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Premises relocation in development with Basildon Town Council; this is now in progress and we are awaiting a final commissioning and build timeframe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Cally Hayes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Partners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Basildon Town Council </w:t>
                                  </w:r>
                                </w:p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NHS Engla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Ongoing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deadline for build start is June 2015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</w:tcPr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Outline plans agreed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Details plan submitted (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February 2015)</w:t>
                                  </w:r>
                                </w:p>
                                <w:p w:rsidR="00FA691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  <w:t>Awaiting planning committee decision</w:t>
                                  </w:r>
                                </w:p>
                                <w:p w:rsidR="00FA6910" w:rsidRPr="00032C80" w:rsidRDefault="00FA6910" w:rsidP="007C30C7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AE8" w:rsidRDefault="00A75AE8" w:rsidP="00A75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8.45pt;width:701.2pt;height:3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" fillcolor="white [3201]" strokeweight=".5pt">
                <v:path arrowok="t"/>
                <v:textbox>
                  <w:txbxContent>
                    <w:tbl>
                      <w:tblPr>
                        <w:tblStyle w:val="TableGrid"/>
                        <w:tblW w:w="1375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467"/>
                        <w:gridCol w:w="1843"/>
                        <w:gridCol w:w="1134"/>
                        <w:gridCol w:w="5888"/>
                      </w:tblGrid>
                      <w:tr w:rsidR="00FA6910" w:rsidRPr="00032C80" w:rsidTr="00FA6910">
                        <w:tc>
                          <w:tcPr>
                            <w:tcW w:w="1418" w:type="dxa"/>
                          </w:tcPr>
                          <w:p w:rsidR="00FA6910" w:rsidRPr="00E241B8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 w:rsidRPr="00E241B8"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Booking an Appointment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1) Ensure rota’s created and agreed and are applied to system every 5 weeks; this allows patients to book 6-8 weeks in advance.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2) New Phone System to allow less call traffic ensuring patients can get through to book an appointment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Pr="00E241B8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3) Increase online access to allow more appointments to be booked in this way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Partners 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Cally Hayes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Monitoring by Cally Hayes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Implementing by Reception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Cally Hayes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Reception</w:t>
                            </w:r>
                          </w:p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Secretarial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Ongoing</w:t>
                            </w:r>
                            <w:proofErr w:type="spellEnd"/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Ongoing</w:t>
                            </w:r>
                            <w:proofErr w:type="spellEnd"/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Ongoing</w:t>
                            </w:r>
                            <w:proofErr w:type="spellEnd"/>
                          </w:p>
                        </w:tc>
                        <w:tc>
                          <w:tcPr>
                            <w:tcW w:w="5888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1) Done.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Rota’s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 are always done in this time frame except in exceptional circumstances of staff absence, unplanned sickness </w:t>
                            </w: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2) Done.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Cally Hayes t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continue to monitor and develop as necessary.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3) Service is advertised on pour hold feature on the new phone system and on our website.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Reception are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 now tasked with recommending this option to patients at each contact.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Added to new patient questionnaire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Set prescription messages every 6 months.</w:t>
                            </w:r>
                          </w:p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FA6910" w:rsidRPr="00032C80" w:rsidTr="00FA6910">
                        <w:tc>
                          <w:tcPr>
                            <w:tcW w:w="1418" w:type="dxa"/>
                          </w:tcPr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>Premises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Premises relocation in development with Basildon Town Council; this is now in progress and we are awaiting a final commissioning and build timeframe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Cally Hayes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Partners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Basildon Town Council </w:t>
                            </w:r>
                          </w:p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NHS Engla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Ongoing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 xml:space="preserve"> deadline for build start is June 2015</w:t>
                            </w:r>
                          </w:p>
                        </w:tc>
                        <w:tc>
                          <w:tcPr>
                            <w:tcW w:w="5888" w:type="dxa"/>
                          </w:tcPr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Outline plans agreed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Details plan submitted (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February 2015)</w:t>
                            </w:r>
                          </w:p>
                          <w:p w:rsidR="00FA691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  <w:t>Awaiting planning committee decision</w:t>
                            </w:r>
                          </w:p>
                          <w:p w:rsidR="00FA6910" w:rsidRPr="00032C80" w:rsidRDefault="00FA6910" w:rsidP="007C30C7">
                            <w:pPr>
                              <w:rPr>
                                <w:rFonts w:cs="Arial"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75AE8" w:rsidRDefault="00A75AE8" w:rsidP="00A75AE8"/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Report signed off by PPG: YES/NO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1" w:rsidRDefault="00C56321" w:rsidP="00C56321">
      <w:pPr>
        <w:spacing w:line="240" w:lineRule="auto"/>
      </w:pPr>
      <w:r>
        <w:separator/>
      </w:r>
    </w:p>
  </w:endnote>
  <w:endnote w:type="continuationSeparator" w:id="0">
    <w:p w:rsidR="00C56321" w:rsidRDefault="00C56321" w:rsidP="00C56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1" w:rsidRDefault="00C56321" w:rsidP="00C56321">
      <w:pPr>
        <w:spacing w:line="240" w:lineRule="auto"/>
      </w:pPr>
      <w:r>
        <w:separator/>
      </w:r>
    </w:p>
  </w:footnote>
  <w:footnote w:type="continuationSeparator" w:id="0">
    <w:p w:rsidR="00C56321" w:rsidRDefault="00C56321" w:rsidP="00C56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21" w:rsidRPr="00285DB5" w:rsidRDefault="00C56321" w:rsidP="00C56321">
    <w:pPr>
      <w:tabs>
        <w:tab w:val="left" w:pos="142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Essex</w:t>
    </w:r>
    <w:r w:rsidRPr="00285DB5">
      <w:rPr>
        <w:rFonts w:ascii="Arial" w:hAnsi="Arial" w:cs="Arial"/>
        <w:b/>
        <w:sz w:val="28"/>
        <w:szCs w:val="28"/>
      </w:rPr>
      <w:t xml:space="preserve"> Area Team </w:t>
    </w:r>
  </w:p>
  <w:p w:rsidR="00C56321" w:rsidRPr="00285DB5" w:rsidRDefault="00C56321" w:rsidP="00C56321">
    <w:pPr>
      <w:tabs>
        <w:tab w:val="left" w:pos="142"/>
      </w:tabs>
      <w:jc w:val="center"/>
      <w:rPr>
        <w:rFonts w:ascii="Arial" w:hAnsi="Arial" w:cs="Arial"/>
        <w:b/>
        <w:sz w:val="28"/>
        <w:szCs w:val="28"/>
      </w:rPr>
    </w:pPr>
    <w:r w:rsidRPr="00285DB5">
      <w:rPr>
        <w:rFonts w:ascii="Arial" w:hAnsi="Arial" w:cs="Arial"/>
        <w:b/>
        <w:sz w:val="28"/>
        <w:szCs w:val="28"/>
      </w:rPr>
      <w:t>2014/15 Patient Participation Enhanced Service – Reporting Template</w:t>
    </w:r>
  </w:p>
  <w:p w:rsidR="00C56321" w:rsidRDefault="00C56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2649FE"/>
    <w:rsid w:val="00285DB5"/>
    <w:rsid w:val="0030756C"/>
    <w:rsid w:val="003E33D7"/>
    <w:rsid w:val="00431023"/>
    <w:rsid w:val="004A08CB"/>
    <w:rsid w:val="004B6374"/>
    <w:rsid w:val="0074604F"/>
    <w:rsid w:val="007F7F9F"/>
    <w:rsid w:val="00832DC6"/>
    <w:rsid w:val="00902C10"/>
    <w:rsid w:val="00A64080"/>
    <w:rsid w:val="00A75AE8"/>
    <w:rsid w:val="00C56321"/>
    <w:rsid w:val="00D30A54"/>
    <w:rsid w:val="00D46EC3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4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431023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310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63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21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63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21"/>
    <w:rPr>
      <w:rFonts w:ascii="Calibri" w:eastAsia="Times New Roman" w:hAnsi="Calibri" w:cs="Times New Roman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4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431023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310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63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21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63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21"/>
    <w:rPr>
      <w:rFonts w:ascii="Calibri" w:eastAsia="Times New Roman" w:hAnsi="Calibri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3620F-283B-4574-8FEC-5F18C66BAEC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GP F81041 - London Road Surgery</cp:lastModifiedBy>
  <cp:revision>2</cp:revision>
  <cp:lastPrinted>2014-04-01T17:15:00Z</cp:lastPrinted>
  <dcterms:created xsi:type="dcterms:W3CDTF">2015-03-26T16:51:00Z</dcterms:created>
  <dcterms:modified xsi:type="dcterms:W3CDTF">2015-03-26T16:51:00Z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